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B3" w:rsidRDefault="00630BB3" w:rsidP="00630BB3">
      <w:pPr>
        <w:rPr>
          <w:rFonts w:asciiTheme="minorHAnsi" w:hAnsiTheme="minorHAnsi" w:cstheme="minorBidi"/>
          <w:color w:val="1F497D"/>
          <w:sz w:val="22"/>
          <w:szCs w:val="22"/>
          <w:lang w:eastAsia="en-US"/>
        </w:rPr>
      </w:pPr>
      <w:bookmarkStart w:id="0" w:name="_GoBack"/>
      <w:bookmarkEnd w:id="0"/>
      <w:r>
        <w:rPr>
          <w:rFonts w:asciiTheme="minorHAnsi" w:hAnsiTheme="minorHAnsi" w:cstheme="minorBidi"/>
          <w:color w:val="1F497D"/>
          <w:sz w:val="22"/>
          <w:szCs w:val="22"/>
          <w:lang w:eastAsia="en-US"/>
        </w:rPr>
        <w:t xml:space="preserve">Dear Colleagues </w:t>
      </w:r>
    </w:p>
    <w:p w:rsidR="00630BB3" w:rsidRDefault="00630BB3" w:rsidP="00630BB3">
      <w:pPr>
        <w:rPr>
          <w:rFonts w:asciiTheme="minorHAnsi" w:hAnsiTheme="minorHAnsi" w:cstheme="minorBidi"/>
          <w:color w:val="1F497D"/>
          <w:sz w:val="22"/>
          <w:szCs w:val="22"/>
          <w:lang w:eastAsia="en-US"/>
        </w:rPr>
      </w:pPr>
    </w:p>
    <w:p w:rsidR="00630BB3" w:rsidRDefault="00630BB3" w:rsidP="00630BB3">
      <w:pPr>
        <w:jc w:val="both"/>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 xml:space="preserve">As you will be aware the ERY CORRS scheme was advertised as an AQP (any qualified provider) service, based on the current locally agreed fee structure.  In essence what this meant to the LOC company was that we could not enter into any negotiation on the price of the scheme, however to comply with the minimum Information Governance Standards required by the Standard NHS contract we were required to use an IT infrastructure which would reflect the standards required. </w:t>
      </w:r>
    </w:p>
    <w:p w:rsidR="00630BB3" w:rsidRDefault="00630BB3" w:rsidP="00630BB3">
      <w:pPr>
        <w:jc w:val="both"/>
        <w:rPr>
          <w:rFonts w:asciiTheme="minorHAnsi" w:hAnsiTheme="minorHAnsi" w:cstheme="minorBidi"/>
          <w:color w:val="1F497D"/>
          <w:sz w:val="22"/>
          <w:szCs w:val="22"/>
          <w:lang w:eastAsia="en-US"/>
        </w:rPr>
      </w:pPr>
    </w:p>
    <w:p w:rsidR="00630BB3" w:rsidRDefault="00630BB3" w:rsidP="00630BB3">
      <w:pPr>
        <w:jc w:val="both"/>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Primary Eyecare North Yorkshire &amp; Humber made the decision to bid for the contract with the support of EYLOC and were delighted to be awarded AQP status.</w:t>
      </w:r>
    </w:p>
    <w:p w:rsidR="00630BB3" w:rsidRDefault="00630BB3" w:rsidP="00630BB3">
      <w:pPr>
        <w:jc w:val="both"/>
        <w:rPr>
          <w:rFonts w:asciiTheme="minorHAnsi" w:hAnsiTheme="minorHAnsi" w:cstheme="minorBidi"/>
          <w:color w:val="1F497D"/>
          <w:sz w:val="22"/>
          <w:szCs w:val="22"/>
          <w:lang w:eastAsia="en-US"/>
        </w:rPr>
      </w:pPr>
    </w:p>
    <w:p w:rsidR="00630BB3" w:rsidRDefault="00630BB3" w:rsidP="00630BB3">
      <w:pPr>
        <w:jc w:val="both"/>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 xml:space="preserve">On advice it was agreed that Webstar Health would be subcontracted by the company to provide the IT infrastructure and data collection required to ensure the monitoring of the contract.  Inevitably there is a cost to the company for this IT platform to be used.  </w:t>
      </w:r>
    </w:p>
    <w:p w:rsidR="00630BB3" w:rsidRDefault="00630BB3" w:rsidP="00630BB3">
      <w:pPr>
        <w:jc w:val="both"/>
        <w:rPr>
          <w:rFonts w:asciiTheme="minorHAnsi" w:hAnsiTheme="minorHAnsi" w:cstheme="minorBidi"/>
          <w:color w:val="1F497D"/>
          <w:sz w:val="22"/>
          <w:szCs w:val="22"/>
          <w:lang w:eastAsia="en-US"/>
        </w:rPr>
      </w:pPr>
    </w:p>
    <w:p w:rsidR="00630BB3" w:rsidRDefault="00630BB3" w:rsidP="00630BB3">
      <w:pPr>
        <w:jc w:val="both"/>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 xml:space="preserve">The cost of the Optomanager Platform </w:t>
      </w:r>
      <w:r w:rsidR="00E240FB">
        <w:rPr>
          <w:rFonts w:asciiTheme="minorHAnsi" w:hAnsiTheme="minorHAnsi" w:cstheme="minorBidi"/>
          <w:color w:val="1F497D"/>
          <w:sz w:val="22"/>
          <w:szCs w:val="22"/>
          <w:lang w:eastAsia="en-US"/>
        </w:rPr>
        <w:t>is £5 + vat per patient episode</w:t>
      </w:r>
    </w:p>
    <w:p w:rsidR="00E240FB" w:rsidRDefault="00E240FB" w:rsidP="00630BB3">
      <w:pPr>
        <w:jc w:val="both"/>
        <w:rPr>
          <w:rFonts w:asciiTheme="minorHAnsi" w:hAnsiTheme="minorHAnsi" w:cstheme="minorBidi"/>
          <w:color w:val="1F497D"/>
          <w:sz w:val="22"/>
          <w:szCs w:val="22"/>
          <w:lang w:eastAsia="en-US"/>
        </w:rPr>
      </w:pPr>
    </w:p>
    <w:p w:rsidR="00E240FB" w:rsidRDefault="00E240FB" w:rsidP="00630BB3">
      <w:pPr>
        <w:jc w:val="both"/>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 xml:space="preserve">The fees will therefore be </w:t>
      </w:r>
    </w:p>
    <w:p w:rsidR="00E240FB" w:rsidRDefault="00E240FB" w:rsidP="00630BB3">
      <w:pPr>
        <w:jc w:val="both"/>
        <w:rPr>
          <w:rFonts w:asciiTheme="minorHAnsi" w:hAnsiTheme="minorHAnsi" w:cstheme="minorBidi"/>
          <w:color w:val="1F497D"/>
          <w:sz w:val="22"/>
          <w:szCs w:val="22"/>
          <w:lang w:eastAsia="en-US"/>
        </w:rPr>
      </w:pPr>
    </w:p>
    <w:p w:rsidR="00E240FB" w:rsidRPr="00E240FB" w:rsidRDefault="00E240FB" w:rsidP="00630BB3">
      <w:pPr>
        <w:jc w:val="both"/>
        <w:rPr>
          <w:rFonts w:asciiTheme="minorHAnsi" w:hAnsiTheme="minorHAnsi" w:cstheme="minorBidi"/>
          <w:b/>
          <w:color w:val="1F497D"/>
          <w:sz w:val="22"/>
          <w:szCs w:val="22"/>
          <w:lang w:eastAsia="en-US"/>
        </w:rPr>
      </w:pPr>
    </w:p>
    <w:tbl>
      <w:tblPr>
        <w:tblStyle w:val="TableGrid"/>
        <w:tblW w:w="9356" w:type="dxa"/>
        <w:tblInd w:w="-5" w:type="dxa"/>
        <w:tblLook w:val="04A0" w:firstRow="1" w:lastRow="0" w:firstColumn="1" w:lastColumn="0" w:noHBand="0" w:noVBand="1"/>
      </w:tblPr>
      <w:tblGrid>
        <w:gridCol w:w="3806"/>
        <w:gridCol w:w="3437"/>
        <w:gridCol w:w="2113"/>
      </w:tblGrid>
      <w:tr w:rsidR="00E240FB" w:rsidTr="00E240FB">
        <w:trPr>
          <w:trHeight w:val="695"/>
        </w:trPr>
        <w:tc>
          <w:tcPr>
            <w:tcW w:w="0" w:type="auto"/>
            <w:shd w:val="clear" w:color="auto" w:fill="A6A6A6" w:themeFill="background1" w:themeFillShade="A6"/>
          </w:tcPr>
          <w:p w:rsidR="00E240FB" w:rsidRDefault="00E240FB" w:rsidP="00730993">
            <w:pPr>
              <w:pStyle w:val="ListParagraph"/>
              <w:ind w:left="0"/>
              <w:rPr>
                <w:rFonts w:ascii="Arial" w:hAnsi="Arial" w:cs="Arial"/>
                <w:b/>
                <w:sz w:val="20"/>
                <w:szCs w:val="20"/>
              </w:rPr>
            </w:pPr>
          </w:p>
          <w:p w:rsidR="00E240FB" w:rsidRDefault="00E240FB" w:rsidP="00730993">
            <w:pPr>
              <w:pStyle w:val="ListParagraph"/>
              <w:ind w:left="0"/>
              <w:rPr>
                <w:rFonts w:ascii="Arial" w:hAnsi="Arial" w:cs="Arial"/>
                <w:b/>
                <w:sz w:val="20"/>
                <w:szCs w:val="20"/>
              </w:rPr>
            </w:pPr>
            <w:r>
              <w:rPr>
                <w:rFonts w:ascii="Arial" w:hAnsi="Arial" w:cs="Arial"/>
                <w:b/>
                <w:sz w:val="20"/>
                <w:szCs w:val="20"/>
              </w:rPr>
              <w:t>Service Description</w:t>
            </w:r>
          </w:p>
          <w:p w:rsidR="00E240FB" w:rsidRDefault="00E240FB" w:rsidP="00730993">
            <w:pPr>
              <w:pStyle w:val="ListParagraph"/>
              <w:ind w:left="0"/>
              <w:rPr>
                <w:rFonts w:ascii="Arial" w:hAnsi="Arial" w:cs="Arial"/>
                <w:b/>
                <w:sz w:val="20"/>
                <w:szCs w:val="20"/>
              </w:rPr>
            </w:pPr>
          </w:p>
        </w:tc>
        <w:tc>
          <w:tcPr>
            <w:tcW w:w="0" w:type="auto"/>
            <w:shd w:val="clear" w:color="auto" w:fill="A6A6A6" w:themeFill="background1" w:themeFillShade="A6"/>
          </w:tcPr>
          <w:p w:rsidR="00E240FB" w:rsidRDefault="00E240FB" w:rsidP="00730993">
            <w:pPr>
              <w:pStyle w:val="ListParagraph"/>
              <w:ind w:left="0"/>
              <w:rPr>
                <w:rFonts w:ascii="Arial" w:hAnsi="Arial" w:cs="Arial"/>
                <w:b/>
                <w:sz w:val="20"/>
                <w:szCs w:val="20"/>
              </w:rPr>
            </w:pPr>
          </w:p>
          <w:p w:rsidR="00E240FB" w:rsidRDefault="00E240FB" w:rsidP="00730993">
            <w:pPr>
              <w:pStyle w:val="ListParagraph"/>
              <w:ind w:left="0"/>
              <w:rPr>
                <w:rFonts w:ascii="Arial" w:hAnsi="Arial" w:cs="Arial"/>
                <w:b/>
                <w:sz w:val="20"/>
                <w:szCs w:val="20"/>
              </w:rPr>
            </w:pPr>
            <w:r>
              <w:rPr>
                <w:rFonts w:ascii="Arial" w:hAnsi="Arial" w:cs="Arial"/>
                <w:b/>
                <w:sz w:val="20"/>
                <w:szCs w:val="20"/>
              </w:rPr>
              <w:t>Currency</w:t>
            </w:r>
          </w:p>
        </w:tc>
        <w:tc>
          <w:tcPr>
            <w:tcW w:w="0" w:type="auto"/>
            <w:shd w:val="clear" w:color="auto" w:fill="A6A6A6" w:themeFill="background1" w:themeFillShade="A6"/>
          </w:tcPr>
          <w:p w:rsidR="00E240FB" w:rsidRDefault="00E240FB" w:rsidP="00730993">
            <w:pPr>
              <w:pStyle w:val="ListParagraph"/>
              <w:ind w:left="0"/>
              <w:rPr>
                <w:rFonts w:ascii="Arial" w:hAnsi="Arial" w:cs="Arial"/>
                <w:b/>
                <w:sz w:val="20"/>
                <w:szCs w:val="20"/>
              </w:rPr>
            </w:pPr>
          </w:p>
          <w:p w:rsidR="00E240FB" w:rsidRDefault="00E240FB" w:rsidP="00730993">
            <w:pPr>
              <w:pStyle w:val="ListParagraph"/>
              <w:ind w:left="0"/>
              <w:rPr>
                <w:rFonts w:ascii="Arial" w:hAnsi="Arial" w:cs="Arial"/>
                <w:b/>
                <w:sz w:val="20"/>
                <w:szCs w:val="20"/>
              </w:rPr>
            </w:pPr>
            <w:r>
              <w:rPr>
                <w:rFonts w:ascii="Arial" w:hAnsi="Arial" w:cs="Arial"/>
                <w:b/>
                <w:sz w:val="20"/>
                <w:szCs w:val="20"/>
              </w:rPr>
              <w:t>Price</w:t>
            </w:r>
          </w:p>
        </w:tc>
      </w:tr>
      <w:tr w:rsidR="00E240FB" w:rsidTr="00E240FB">
        <w:trPr>
          <w:trHeight w:val="453"/>
        </w:trPr>
        <w:tc>
          <w:tcPr>
            <w:tcW w:w="0" w:type="auto"/>
            <w:vMerge w:val="restart"/>
          </w:tcPr>
          <w:p w:rsidR="00E240FB" w:rsidRDefault="00E240FB" w:rsidP="00730993">
            <w:pPr>
              <w:pStyle w:val="ListParagraph"/>
              <w:ind w:left="0"/>
              <w:rPr>
                <w:rFonts w:ascii="Arial" w:hAnsi="Arial" w:cs="Arial"/>
                <w:b/>
                <w:sz w:val="20"/>
                <w:szCs w:val="20"/>
              </w:rPr>
            </w:pPr>
            <w:r>
              <w:rPr>
                <w:rFonts w:ascii="Arial" w:hAnsi="Arial" w:cs="Arial"/>
                <w:b/>
                <w:sz w:val="20"/>
              </w:rPr>
              <w:t>Ophthalmic Referral Refinement service</w:t>
            </w:r>
            <w:r w:rsidDel="00EA766F">
              <w:rPr>
                <w:rFonts w:ascii="Arial" w:hAnsi="Arial" w:cs="Arial"/>
                <w:b/>
                <w:sz w:val="20"/>
                <w:szCs w:val="20"/>
              </w:rPr>
              <w:t xml:space="preserve"> </w:t>
            </w:r>
          </w:p>
        </w:tc>
        <w:tc>
          <w:tcPr>
            <w:tcW w:w="0" w:type="auto"/>
          </w:tcPr>
          <w:p w:rsidR="00E240FB" w:rsidRDefault="00E240FB" w:rsidP="00730993">
            <w:pPr>
              <w:pStyle w:val="ListParagraph"/>
              <w:ind w:left="0"/>
              <w:rPr>
                <w:rFonts w:ascii="Arial" w:hAnsi="Arial" w:cs="Arial"/>
                <w:b/>
                <w:sz w:val="20"/>
                <w:szCs w:val="20"/>
              </w:rPr>
            </w:pPr>
            <w:r w:rsidRPr="00AE2A7A">
              <w:rPr>
                <w:rFonts w:ascii="Arial" w:hAnsi="Arial" w:cs="Arial"/>
                <w:sz w:val="20"/>
              </w:rPr>
              <w:t>First appointment</w:t>
            </w:r>
          </w:p>
        </w:tc>
        <w:tc>
          <w:tcPr>
            <w:tcW w:w="0" w:type="auto"/>
          </w:tcPr>
          <w:p w:rsidR="00E240FB" w:rsidRDefault="00E240FB" w:rsidP="00730993">
            <w:pPr>
              <w:rPr>
                <w:rFonts w:ascii="Arial" w:hAnsi="Arial" w:cs="Arial"/>
                <w:b/>
              </w:rPr>
            </w:pPr>
            <w:r>
              <w:rPr>
                <w:rFonts w:ascii="Arial" w:hAnsi="Arial" w:cs="Arial"/>
                <w:b/>
              </w:rPr>
              <w:t>£44 per appointment</w:t>
            </w:r>
          </w:p>
        </w:tc>
      </w:tr>
      <w:tr w:rsidR="00E240FB" w:rsidTr="00E240FB">
        <w:trPr>
          <w:trHeight w:val="468"/>
        </w:trPr>
        <w:tc>
          <w:tcPr>
            <w:tcW w:w="0" w:type="auto"/>
            <w:vMerge/>
          </w:tcPr>
          <w:p w:rsidR="00E240FB" w:rsidRDefault="00E240FB" w:rsidP="00730993">
            <w:pPr>
              <w:pStyle w:val="ListParagraph"/>
              <w:ind w:left="0"/>
              <w:rPr>
                <w:rFonts w:ascii="Arial" w:hAnsi="Arial" w:cs="Arial"/>
                <w:b/>
                <w:sz w:val="20"/>
                <w:szCs w:val="20"/>
              </w:rPr>
            </w:pPr>
          </w:p>
        </w:tc>
        <w:tc>
          <w:tcPr>
            <w:tcW w:w="0" w:type="auto"/>
          </w:tcPr>
          <w:p w:rsidR="00E240FB" w:rsidRDefault="00E240FB" w:rsidP="00730993">
            <w:pPr>
              <w:pStyle w:val="ListParagraph"/>
              <w:ind w:left="0"/>
              <w:rPr>
                <w:rFonts w:ascii="Arial" w:hAnsi="Arial" w:cs="Arial"/>
                <w:b/>
                <w:sz w:val="20"/>
                <w:szCs w:val="20"/>
              </w:rPr>
            </w:pPr>
            <w:r w:rsidRPr="00AE2A7A">
              <w:rPr>
                <w:rFonts w:ascii="Arial" w:hAnsi="Arial" w:cs="Arial"/>
                <w:sz w:val="20"/>
              </w:rPr>
              <w:t>Follow up appointment (not glaucoma)</w:t>
            </w:r>
          </w:p>
        </w:tc>
        <w:tc>
          <w:tcPr>
            <w:tcW w:w="0" w:type="auto"/>
          </w:tcPr>
          <w:p w:rsidR="00E240FB" w:rsidRDefault="00E240FB" w:rsidP="00730993">
            <w:pPr>
              <w:pStyle w:val="ListParagraph"/>
              <w:ind w:left="0"/>
              <w:rPr>
                <w:rFonts w:ascii="Arial" w:hAnsi="Arial" w:cs="Arial"/>
                <w:b/>
                <w:sz w:val="20"/>
                <w:szCs w:val="20"/>
              </w:rPr>
            </w:pPr>
            <w:r>
              <w:rPr>
                <w:rFonts w:ascii="Arial" w:hAnsi="Arial" w:cs="Arial"/>
                <w:b/>
                <w:sz w:val="20"/>
              </w:rPr>
              <w:t>£32 per appointment</w:t>
            </w:r>
          </w:p>
        </w:tc>
      </w:tr>
      <w:tr w:rsidR="00E240FB" w:rsidTr="00E240FB">
        <w:trPr>
          <w:trHeight w:val="241"/>
        </w:trPr>
        <w:tc>
          <w:tcPr>
            <w:tcW w:w="0" w:type="auto"/>
            <w:vMerge/>
          </w:tcPr>
          <w:p w:rsidR="00E240FB" w:rsidRDefault="00E240FB" w:rsidP="00730993">
            <w:pPr>
              <w:pStyle w:val="ListParagraph"/>
              <w:ind w:left="0"/>
              <w:rPr>
                <w:rFonts w:ascii="Arial" w:hAnsi="Arial" w:cs="Arial"/>
                <w:b/>
                <w:sz w:val="20"/>
                <w:szCs w:val="20"/>
              </w:rPr>
            </w:pPr>
          </w:p>
        </w:tc>
        <w:tc>
          <w:tcPr>
            <w:tcW w:w="0" w:type="auto"/>
          </w:tcPr>
          <w:p w:rsidR="00E240FB" w:rsidRPr="00D85464" w:rsidRDefault="00E240FB" w:rsidP="00730993">
            <w:pPr>
              <w:pStyle w:val="ListParagraph"/>
              <w:ind w:left="0"/>
              <w:rPr>
                <w:rFonts w:ascii="Arial" w:hAnsi="Arial" w:cs="Arial"/>
                <w:sz w:val="20"/>
                <w:lang w:eastAsia="en-US"/>
              </w:rPr>
            </w:pPr>
            <w:r>
              <w:rPr>
                <w:rFonts w:ascii="Arial" w:hAnsi="Arial" w:cs="Arial"/>
                <w:sz w:val="20"/>
                <w:lang w:eastAsia="en-US"/>
              </w:rPr>
              <w:t>Glaucoma</w:t>
            </w:r>
            <w:r w:rsidR="00CD7031">
              <w:rPr>
                <w:rFonts w:ascii="Arial" w:hAnsi="Arial" w:cs="Arial"/>
                <w:sz w:val="20"/>
                <w:lang w:eastAsia="en-US"/>
              </w:rPr>
              <w:t xml:space="preserve"> repeat readings </w:t>
            </w:r>
          </w:p>
        </w:tc>
        <w:tc>
          <w:tcPr>
            <w:tcW w:w="0" w:type="auto"/>
          </w:tcPr>
          <w:p w:rsidR="00E240FB" w:rsidRDefault="00E240FB" w:rsidP="00730993">
            <w:pPr>
              <w:pStyle w:val="ListParagraph"/>
              <w:ind w:left="0"/>
              <w:rPr>
                <w:rFonts w:ascii="Arial" w:hAnsi="Arial" w:cs="Arial"/>
                <w:b/>
                <w:sz w:val="20"/>
                <w:szCs w:val="20"/>
              </w:rPr>
            </w:pPr>
            <w:r>
              <w:rPr>
                <w:rFonts w:ascii="Arial" w:hAnsi="Arial" w:cs="Arial"/>
                <w:b/>
                <w:sz w:val="20"/>
              </w:rPr>
              <w:t>£34 per patient</w:t>
            </w:r>
          </w:p>
        </w:tc>
      </w:tr>
    </w:tbl>
    <w:p w:rsidR="00E240FB" w:rsidRPr="00E240FB" w:rsidRDefault="00E240FB" w:rsidP="00630BB3">
      <w:pPr>
        <w:jc w:val="both"/>
        <w:rPr>
          <w:rFonts w:asciiTheme="minorHAnsi" w:hAnsiTheme="minorHAnsi" w:cstheme="minorBidi"/>
          <w:b/>
          <w:color w:val="1F497D"/>
          <w:sz w:val="22"/>
          <w:szCs w:val="22"/>
          <w:lang w:eastAsia="en-US"/>
        </w:rPr>
      </w:pPr>
    </w:p>
    <w:p w:rsidR="00E240FB" w:rsidRPr="00DB7CC0" w:rsidRDefault="00E240FB" w:rsidP="00630BB3">
      <w:pPr>
        <w:jc w:val="both"/>
        <w:rPr>
          <w:rFonts w:asciiTheme="minorHAnsi" w:hAnsiTheme="minorHAnsi" w:cstheme="minorBidi"/>
          <w:b/>
          <w:color w:val="1F497D"/>
          <w:sz w:val="22"/>
          <w:szCs w:val="22"/>
          <w:lang w:eastAsia="en-US"/>
        </w:rPr>
      </w:pPr>
      <w:r w:rsidRPr="00E240FB">
        <w:rPr>
          <w:rFonts w:asciiTheme="minorHAnsi" w:hAnsiTheme="minorHAnsi" w:cstheme="minorBidi"/>
          <w:b/>
          <w:color w:val="1F497D"/>
          <w:sz w:val="22"/>
          <w:szCs w:val="22"/>
          <w:lang w:eastAsia="en-US"/>
        </w:rPr>
        <w:t xml:space="preserve"> </w:t>
      </w:r>
    </w:p>
    <w:p w:rsidR="00E240FB" w:rsidRPr="00DB7CC0" w:rsidRDefault="00DB7CC0" w:rsidP="00630BB3">
      <w:pPr>
        <w:jc w:val="both"/>
        <w:rPr>
          <w:rFonts w:asciiTheme="minorHAnsi" w:hAnsiTheme="minorHAnsi" w:cstheme="minorBidi"/>
          <w:b/>
          <w:color w:val="1F497D"/>
          <w:sz w:val="22"/>
          <w:szCs w:val="22"/>
          <w:lang w:eastAsia="en-US"/>
        </w:rPr>
      </w:pPr>
      <w:r w:rsidRPr="00DB7CC0">
        <w:rPr>
          <w:rFonts w:asciiTheme="minorHAnsi" w:hAnsiTheme="minorHAnsi" w:cstheme="minorBidi"/>
          <w:b/>
          <w:color w:val="1F497D"/>
          <w:sz w:val="22"/>
          <w:szCs w:val="22"/>
          <w:lang w:eastAsia="en-US"/>
        </w:rPr>
        <w:t xml:space="preserve">You will note that no fee is being claimed for the company in this instance.  Only the cost of optomanager. </w:t>
      </w:r>
    </w:p>
    <w:p w:rsidR="00DB7CC0" w:rsidRPr="00DB7CC0" w:rsidRDefault="00DB7CC0" w:rsidP="00630BB3">
      <w:pPr>
        <w:jc w:val="both"/>
        <w:rPr>
          <w:rFonts w:asciiTheme="minorHAnsi" w:hAnsiTheme="minorHAnsi" w:cstheme="minorBidi"/>
          <w:color w:val="1F497D"/>
          <w:sz w:val="22"/>
          <w:szCs w:val="22"/>
          <w:lang w:eastAsia="en-US"/>
        </w:rPr>
      </w:pPr>
    </w:p>
    <w:p w:rsidR="00DB7CC0" w:rsidRPr="00DB7CC0" w:rsidRDefault="00DB7CC0" w:rsidP="00630BB3">
      <w:pPr>
        <w:jc w:val="both"/>
        <w:rPr>
          <w:rFonts w:asciiTheme="minorHAnsi" w:hAnsiTheme="minorHAnsi" w:cstheme="minorBidi"/>
          <w:color w:val="1F497D"/>
          <w:sz w:val="22"/>
          <w:szCs w:val="22"/>
          <w:lang w:eastAsia="en-US"/>
        </w:rPr>
      </w:pPr>
      <w:r w:rsidRPr="00DB7CC0">
        <w:rPr>
          <w:rFonts w:asciiTheme="minorHAnsi" w:hAnsiTheme="minorHAnsi" w:cstheme="minorBidi"/>
          <w:color w:val="1F497D"/>
          <w:sz w:val="22"/>
          <w:szCs w:val="22"/>
          <w:lang w:eastAsia="en-US"/>
        </w:rPr>
        <w:t xml:space="preserve">I trust this gives you the clarity required should you have further queries please do not hesitate to contact me </w:t>
      </w:r>
    </w:p>
    <w:p w:rsidR="00DB7CC0" w:rsidRDefault="00DB7CC0" w:rsidP="00630BB3">
      <w:pPr>
        <w:jc w:val="both"/>
        <w:rPr>
          <w:rFonts w:asciiTheme="minorHAnsi" w:hAnsiTheme="minorHAnsi" w:cstheme="minorBidi"/>
          <w:b/>
          <w:color w:val="1F497D"/>
          <w:sz w:val="22"/>
          <w:szCs w:val="22"/>
          <w:lang w:eastAsia="en-US"/>
        </w:rPr>
      </w:pPr>
    </w:p>
    <w:p w:rsidR="00DB7CC0" w:rsidRDefault="00DB7CC0" w:rsidP="00630BB3">
      <w:pPr>
        <w:jc w:val="both"/>
        <w:rPr>
          <w:rFonts w:asciiTheme="minorHAnsi" w:hAnsiTheme="minorHAnsi" w:cstheme="minorBidi"/>
          <w:b/>
          <w:color w:val="1F497D"/>
          <w:sz w:val="22"/>
          <w:szCs w:val="22"/>
          <w:lang w:eastAsia="en-US"/>
        </w:rPr>
      </w:pPr>
      <w:r>
        <w:rPr>
          <w:rFonts w:asciiTheme="minorHAnsi" w:hAnsiTheme="minorHAnsi" w:cstheme="minorBidi"/>
          <w:b/>
          <w:color w:val="1F497D"/>
          <w:sz w:val="22"/>
          <w:szCs w:val="22"/>
          <w:lang w:eastAsia="en-US"/>
        </w:rPr>
        <w:t xml:space="preserve">Lisa Barker </w:t>
      </w:r>
    </w:p>
    <w:p w:rsidR="00E240FB" w:rsidRPr="00E240FB" w:rsidRDefault="00E240FB" w:rsidP="00630BB3">
      <w:pPr>
        <w:jc w:val="both"/>
        <w:rPr>
          <w:rFonts w:asciiTheme="minorHAnsi" w:hAnsiTheme="minorHAnsi" w:cstheme="minorBidi"/>
          <w:b/>
          <w:color w:val="1F497D"/>
          <w:sz w:val="22"/>
          <w:szCs w:val="22"/>
          <w:lang w:eastAsia="en-US"/>
        </w:rPr>
      </w:pPr>
    </w:p>
    <w:p w:rsidR="00E240FB" w:rsidRDefault="00E240FB" w:rsidP="00630BB3">
      <w:pPr>
        <w:jc w:val="both"/>
        <w:rPr>
          <w:rFonts w:asciiTheme="minorHAnsi" w:hAnsiTheme="minorHAnsi" w:cstheme="minorBidi"/>
          <w:color w:val="1F497D"/>
          <w:sz w:val="22"/>
          <w:szCs w:val="22"/>
          <w:lang w:eastAsia="en-US"/>
        </w:rPr>
      </w:pPr>
    </w:p>
    <w:p w:rsidR="00E240FB" w:rsidRDefault="00E240FB" w:rsidP="00630BB3">
      <w:pPr>
        <w:jc w:val="both"/>
        <w:rPr>
          <w:rFonts w:asciiTheme="minorHAnsi" w:hAnsiTheme="minorHAnsi" w:cstheme="minorBidi"/>
          <w:color w:val="1F497D"/>
          <w:sz w:val="22"/>
          <w:szCs w:val="22"/>
          <w:lang w:eastAsia="en-US"/>
        </w:rPr>
      </w:pPr>
    </w:p>
    <w:p w:rsidR="00630BB3" w:rsidRDefault="00630BB3" w:rsidP="00630BB3">
      <w:pPr>
        <w:jc w:val="both"/>
        <w:rPr>
          <w:rFonts w:asciiTheme="minorHAnsi" w:hAnsiTheme="minorHAnsi" w:cstheme="minorBidi"/>
          <w:color w:val="1F497D"/>
          <w:sz w:val="22"/>
          <w:szCs w:val="22"/>
          <w:lang w:eastAsia="en-US"/>
        </w:rPr>
      </w:pPr>
    </w:p>
    <w:p w:rsidR="00630BB3" w:rsidRDefault="00630BB3" w:rsidP="00630BB3">
      <w:pPr>
        <w:jc w:val="both"/>
        <w:rPr>
          <w:rFonts w:asciiTheme="minorHAnsi" w:hAnsiTheme="minorHAnsi" w:cstheme="minorBidi"/>
          <w:color w:val="1F497D"/>
          <w:sz w:val="22"/>
          <w:szCs w:val="22"/>
          <w:lang w:eastAsia="en-US"/>
        </w:rPr>
      </w:pPr>
    </w:p>
    <w:p w:rsidR="00630BB3" w:rsidRDefault="00630BB3" w:rsidP="00630BB3">
      <w:pPr>
        <w:rPr>
          <w:rFonts w:asciiTheme="minorHAnsi" w:hAnsiTheme="minorHAnsi" w:cstheme="minorBidi"/>
          <w:color w:val="1F497D"/>
          <w:sz w:val="22"/>
          <w:szCs w:val="22"/>
          <w:lang w:eastAsia="en-US"/>
        </w:rPr>
      </w:pPr>
    </w:p>
    <w:p w:rsidR="00630BB3" w:rsidRDefault="00630BB3" w:rsidP="00630BB3">
      <w:pPr>
        <w:rPr>
          <w:rFonts w:asciiTheme="minorHAnsi" w:hAnsiTheme="minorHAnsi" w:cstheme="minorBidi"/>
          <w:color w:val="1F497D"/>
          <w:sz w:val="22"/>
          <w:szCs w:val="22"/>
          <w:lang w:eastAsia="en-US"/>
        </w:rPr>
      </w:pPr>
    </w:p>
    <w:p w:rsidR="00630BB3" w:rsidRDefault="00630BB3" w:rsidP="00630BB3">
      <w:pPr>
        <w:rPr>
          <w:rFonts w:asciiTheme="minorHAnsi" w:hAnsiTheme="minorHAnsi" w:cstheme="minorBidi"/>
          <w:color w:val="1F497D"/>
          <w:sz w:val="22"/>
          <w:szCs w:val="22"/>
          <w:lang w:eastAsia="en-US"/>
        </w:rPr>
      </w:pPr>
    </w:p>
    <w:p w:rsidR="00630BB3" w:rsidRDefault="00630BB3" w:rsidP="00630BB3">
      <w:pPr>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 xml:space="preserve">.  </w:t>
      </w:r>
    </w:p>
    <w:p w:rsidR="003054EF" w:rsidRDefault="003054EF"/>
    <w:sectPr w:rsidR="00305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B3"/>
    <w:rsid w:val="003054EF"/>
    <w:rsid w:val="00630BB3"/>
    <w:rsid w:val="009B6A32"/>
    <w:rsid w:val="00CD7031"/>
    <w:rsid w:val="00DB7CC0"/>
    <w:rsid w:val="00E24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7CA1A-9033-4DD9-BE28-11E3D96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BB3"/>
    <w:pPr>
      <w:spacing w:after="0" w:line="240" w:lineRule="auto"/>
    </w:pPr>
    <w:rPr>
      <w:rFonts w:ascii="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0F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240FB"/>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8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Barker</dc:creator>
  <cp:keywords/>
  <dc:description/>
  <cp:lastModifiedBy>Lisa Barker</cp:lastModifiedBy>
  <cp:revision>2</cp:revision>
  <dcterms:created xsi:type="dcterms:W3CDTF">2014-03-27T10:31:00Z</dcterms:created>
  <dcterms:modified xsi:type="dcterms:W3CDTF">2014-03-27T10:31:00Z</dcterms:modified>
</cp:coreProperties>
</file>